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00F" w14:textId="77777777" w:rsidR="0075259C" w:rsidRPr="009651A0" w:rsidRDefault="0075259C" w:rsidP="00810711">
      <w:pPr>
        <w:pStyle w:val="Standarduser"/>
        <w:spacing w:after="120" w:line="276" w:lineRule="auto"/>
        <w:jc w:val="righ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Załącznik nr 1 do umowy nr: </w:t>
      </w:r>
      <w:r w:rsidR="00A517A5">
        <w:rPr>
          <w:rFonts w:ascii="Calibri" w:hAnsi="Calibri" w:cs="Calibri"/>
          <w:b/>
          <w:bCs/>
          <w:szCs w:val="24"/>
        </w:rPr>
        <w:t>…………………….</w:t>
      </w:r>
    </w:p>
    <w:p w14:paraId="72C29653" w14:textId="77777777" w:rsidR="0075259C" w:rsidRPr="009651A0" w:rsidRDefault="0075259C" w:rsidP="0075259C">
      <w:pPr>
        <w:pStyle w:val="Nagwek3"/>
        <w:spacing w:before="240" w:after="240"/>
        <w:jc w:val="center"/>
        <w:rPr>
          <w:rFonts w:asciiTheme="minorHAnsi" w:hAnsiTheme="minorHAnsi" w:cstheme="minorHAnsi"/>
          <w:b/>
          <w:spacing w:val="0"/>
          <w:sz w:val="28"/>
          <w:szCs w:val="28"/>
          <w:u w:val="none"/>
        </w:rPr>
      </w:pP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t>Przedmiot dofinansowania</w:t>
      </w:r>
    </w:p>
    <w:p w14:paraId="2E0DD70E" w14:textId="77777777" w:rsidR="0075259C" w:rsidRPr="009651A0" w:rsidRDefault="0075259C" w:rsidP="009F45D4">
      <w:pPr>
        <w:pStyle w:val="Standarduser"/>
        <w:numPr>
          <w:ilvl w:val="6"/>
          <w:numId w:val="57"/>
        </w:numPr>
        <w:suppressAutoHyphens w:val="0"/>
        <w:spacing w:before="120" w:after="120" w:line="276" w:lineRule="auto"/>
        <w:ind w:left="283" w:hanging="357"/>
        <w:textAlignment w:val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Szczegółowy zakres rzeczowy i finansowy dofinansowania ze środków PFRON w okresie </w:t>
      </w:r>
      <w:r w:rsidR="009F45D4" w:rsidRPr="009651A0">
        <w:rPr>
          <w:rFonts w:ascii="Calibri" w:hAnsi="Calibri" w:cs="Calibri"/>
          <w:szCs w:val="24"/>
        </w:rPr>
        <w:br/>
      </w:r>
      <w:r w:rsidRPr="009651A0">
        <w:rPr>
          <w:rFonts w:ascii="Calibri" w:hAnsi="Calibri" w:cs="Calibri"/>
          <w:szCs w:val="24"/>
        </w:rPr>
        <w:t>36 miesięcy:</w:t>
      </w:r>
    </w:p>
    <w:tbl>
      <w:tblPr>
        <w:tblStyle w:val="Tabela-Siatka"/>
        <w:tblW w:w="9978" w:type="dxa"/>
        <w:tblLayout w:type="fixed"/>
        <w:tblLook w:val="0020" w:firstRow="1" w:lastRow="0" w:firstColumn="0" w:lastColumn="0" w:noHBand="0" w:noVBand="0"/>
      </w:tblPr>
      <w:tblGrid>
        <w:gridCol w:w="3316"/>
        <w:gridCol w:w="1417"/>
        <w:gridCol w:w="1471"/>
        <w:gridCol w:w="3774"/>
      </w:tblGrid>
      <w:tr w:rsidR="0075259C" w:rsidRPr="009651A0" w14:paraId="63EE0B37" w14:textId="77777777" w:rsidTr="0075259C">
        <w:trPr>
          <w:tblHeader/>
        </w:trPr>
        <w:tc>
          <w:tcPr>
            <w:tcW w:w="3316" w:type="dxa"/>
            <w:shd w:val="clear" w:color="auto" w:fill="D9D9D9"/>
          </w:tcPr>
          <w:p w14:paraId="63FFF2F3" w14:textId="77777777" w:rsidR="0075259C" w:rsidRPr="009651A0" w:rsidRDefault="0075259C" w:rsidP="00E46DA1">
            <w:r w:rsidRPr="009651A0">
              <w:t>Przedmiot pomocy</w:t>
            </w:r>
          </w:p>
        </w:tc>
        <w:tc>
          <w:tcPr>
            <w:tcW w:w="1417" w:type="dxa"/>
            <w:shd w:val="clear" w:color="auto" w:fill="D9D9D9"/>
          </w:tcPr>
          <w:p w14:paraId="6D183D53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Data rozpoczęcia okresu wynajmu </w:t>
            </w:r>
          </w:p>
        </w:tc>
        <w:tc>
          <w:tcPr>
            <w:tcW w:w="1471" w:type="dxa"/>
            <w:shd w:val="clear" w:color="auto" w:fill="D9D9D9"/>
          </w:tcPr>
          <w:p w14:paraId="55F58C51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Data zakończenia okresu wynajmu </w:t>
            </w:r>
          </w:p>
        </w:tc>
        <w:tc>
          <w:tcPr>
            <w:tcW w:w="3774" w:type="dxa"/>
            <w:shd w:val="clear" w:color="auto" w:fill="D9D9D9"/>
          </w:tcPr>
          <w:p w14:paraId="4814E04F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Maksymalna kwota dofinansowania </w:t>
            </w: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>w ramach umowy (w zł)</w:t>
            </w:r>
          </w:p>
        </w:tc>
      </w:tr>
      <w:tr w:rsidR="0075259C" w:rsidRPr="009651A0" w14:paraId="685619F1" w14:textId="77777777" w:rsidTr="0075259C">
        <w:trPr>
          <w:trHeight w:val="482"/>
        </w:trPr>
        <w:tc>
          <w:tcPr>
            <w:tcW w:w="3316" w:type="dxa"/>
          </w:tcPr>
          <w:p w14:paraId="3E3138FD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 do 12 miesiąca</w:t>
            </w:r>
          </w:p>
        </w:tc>
        <w:tc>
          <w:tcPr>
            <w:tcW w:w="1417" w:type="dxa"/>
          </w:tcPr>
          <w:p w14:paraId="01640CFE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6531FE5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6DFB9A29" w14:textId="77777777" w:rsidR="0075259C" w:rsidRPr="009651A0" w:rsidRDefault="0075259C" w:rsidP="00A517A5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259C" w:rsidRPr="009651A0" w14:paraId="7FD278F6" w14:textId="77777777" w:rsidTr="0075259C">
        <w:trPr>
          <w:trHeight w:val="482"/>
        </w:trPr>
        <w:tc>
          <w:tcPr>
            <w:tcW w:w="3316" w:type="dxa"/>
          </w:tcPr>
          <w:p w14:paraId="4A2E26EA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do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24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miesiąca</w:t>
            </w:r>
          </w:p>
        </w:tc>
        <w:tc>
          <w:tcPr>
            <w:tcW w:w="1417" w:type="dxa"/>
          </w:tcPr>
          <w:p w14:paraId="6797BC37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31C88AF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38B48155" w14:textId="77777777" w:rsidR="0075259C" w:rsidRPr="009651A0" w:rsidRDefault="0075259C" w:rsidP="00A517A5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9651A0" w14:paraId="6B3281CC" w14:textId="77777777" w:rsidTr="0075259C">
        <w:trPr>
          <w:trHeight w:val="482"/>
        </w:trPr>
        <w:tc>
          <w:tcPr>
            <w:tcW w:w="3316" w:type="dxa"/>
          </w:tcPr>
          <w:p w14:paraId="48776276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Dofinansowanie kosztów wynajmu mieszkania w okresie od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do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36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miesiąca</w:t>
            </w:r>
          </w:p>
        </w:tc>
        <w:tc>
          <w:tcPr>
            <w:tcW w:w="1417" w:type="dxa"/>
          </w:tcPr>
          <w:p w14:paraId="270934B1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7372C64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AAEB3C0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9651A0" w14:paraId="06630FF1" w14:textId="77777777" w:rsidTr="0075259C">
        <w:trPr>
          <w:trHeight w:val="482"/>
        </w:trPr>
        <w:tc>
          <w:tcPr>
            <w:tcW w:w="3316" w:type="dxa"/>
          </w:tcPr>
          <w:p w14:paraId="0BAA6008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  <w:szCs w:val="24"/>
              </w:rPr>
              <w:t>Razem w okresie 36 miesięcy</w:t>
            </w:r>
          </w:p>
        </w:tc>
        <w:tc>
          <w:tcPr>
            <w:tcW w:w="1417" w:type="dxa"/>
          </w:tcPr>
          <w:p w14:paraId="2232BC32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F6A80DD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3DE68B1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674886" w14:textId="77777777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before="240"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Udział własny Beneficjenta stanowi różnicę kosztów wynikających z zawartej umowy najmu mieszkania oraz kwoty dofinansowania tych kosztów w ramach niniejszej umowy.</w:t>
      </w:r>
    </w:p>
    <w:p w14:paraId="12560A75" w14:textId="11B7DD09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 ciągu pierwszego miesiąca rozpoczynającego każdy okres objęty dofinansowaniem, tzn. </w:t>
      </w:r>
      <w:r w:rsidRPr="009651A0">
        <w:rPr>
          <w:rFonts w:ascii="Calibri" w:hAnsi="Calibri" w:cs="Calibri"/>
          <w:sz w:val="24"/>
        </w:rPr>
        <w:br/>
        <w:t>w ciągu trwania pierwszego, trzynastego i dwudziestego piątego miesiąca od podpisania umowy najmu mieszkania, Beneficjent dokumentuje poniesienie kosztów najmu w</w:t>
      </w:r>
      <w:r w:rsidR="000A03D9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postaci potwierdzenia dokonania przelewu tytułem uiszczenia kosztów </w:t>
      </w:r>
      <w:r w:rsidR="000A03D9" w:rsidRPr="009651A0">
        <w:rPr>
          <w:rFonts w:ascii="Calibri" w:hAnsi="Calibri" w:cs="Calibri"/>
          <w:sz w:val="24"/>
        </w:rPr>
        <w:t>wynajmu mieszkania</w:t>
      </w:r>
      <w:r w:rsidRPr="009651A0">
        <w:rPr>
          <w:rFonts w:ascii="Calibri" w:hAnsi="Calibri" w:cs="Calibri"/>
          <w:sz w:val="24"/>
        </w:rPr>
        <w:t xml:space="preserve">. </w:t>
      </w:r>
    </w:p>
    <w:p w14:paraId="09DBF2D0" w14:textId="77777777" w:rsidR="0075259C" w:rsidRPr="009651A0" w:rsidRDefault="0075259C" w:rsidP="000A03D9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Dopuszczalny sposób przekazania przyznanego dofinansowania: transze wypłacane na podany we wniosku o dofinansowanie rachunek Beneficjenta, w terminie do 10 dnia każdego miesiąca. </w:t>
      </w:r>
    </w:p>
    <w:p w14:paraId="55FED3E7" w14:textId="77777777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t>Warunki przekazania i rozliczenia udzielonej pomocy:</w:t>
      </w:r>
    </w:p>
    <w:p w14:paraId="2C14238E" w14:textId="56BEBCEC" w:rsidR="0075259C" w:rsidRPr="009651A0" w:rsidRDefault="0075259C" w:rsidP="0075259C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dofinansowaniu podlegają wyłącznie te koszty (te części kosztów), które nie zostały sfinansowane z innych źródeł tj. ze środków pochodzących z zaciągniętego kredytu lub pożyczki, </w:t>
      </w:r>
      <w:r w:rsidR="000A03D9" w:rsidRPr="009651A0">
        <w:rPr>
          <w:rFonts w:ascii="Calibri" w:hAnsi="Calibri" w:cs="Calibri"/>
          <w:sz w:val="24"/>
        </w:rPr>
        <w:t>z budżetu</w:t>
      </w:r>
      <w:r w:rsidRPr="009651A0">
        <w:rPr>
          <w:rFonts w:ascii="Calibri" w:hAnsi="Calibri" w:cs="Calibri"/>
          <w:sz w:val="24"/>
        </w:rPr>
        <w:t xml:space="preserve"> państwa, z budżetów jednostek samorządu terytorialnego, ze środków własnych szkół i uczelni oraz z funduszy strukturalnych lub pracodawcy;</w:t>
      </w:r>
    </w:p>
    <w:p w14:paraId="1BA4C1E0" w14:textId="77777777" w:rsidR="0075259C" w:rsidRPr="009651A0" w:rsidRDefault="0075259C" w:rsidP="0075259C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 xml:space="preserve">rozliczenie dofinansowanych kosztów wynajmu mieszkania odbywa się każdorazowo </w:t>
      </w:r>
      <w:r w:rsidRPr="009651A0">
        <w:rPr>
          <w:rFonts w:ascii="Calibri" w:hAnsi="Calibri" w:cs="Calibri"/>
          <w:bCs/>
          <w:sz w:val="24"/>
        </w:rPr>
        <w:br/>
        <w:t xml:space="preserve">po upływie okresu 12 miesięcy, podczas którego przekazywane było dofinansowanie, </w:t>
      </w:r>
      <w:r w:rsidRPr="009651A0">
        <w:rPr>
          <w:rFonts w:ascii="Calibri" w:hAnsi="Calibri" w:cs="Calibri"/>
          <w:bCs/>
          <w:sz w:val="24"/>
        </w:rPr>
        <w:br/>
        <w:t>co wymaga:</w:t>
      </w:r>
    </w:p>
    <w:p w14:paraId="1AAE6633" w14:textId="77777777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lastRenderedPageBreak/>
        <w:t xml:space="preserve">udokumentowania przez Beneficjenta w SOW </w:t>
      </w:r>
      <w:r w:rsidRPr="009651A0">
        <w:rPr>
          <w:rFonts w:ascii="Calibri" w:hAnsi="Calibri" w:cs="Calibri"/>
          <w:sz w:val="24"/>
        </w:rPr>
        <w:t>wykonanych przelewów na rachunek bankowy zgodny ze wskazanym w umowie najmu mieszkania</w:t>
      </w:r>
      <w:r w:rsidRPr="009651A0">
        <w:rPr>
          <w:rFonts w:ascii="Calibri" w:hAnsi="Calibri" w:cs="Calibri"/>
          <w:bCs/>
          <w:sz w:val="24"/>
        </w:rPr>
        <w:t xml:space="preserve"> (dowodu/ów poniesienia kosztów objętych dofinansowaniem) oraz zwrotu środków niewykorzystanych,</w:t>
      </w:r>
    </w:p>
    <w:p w14:paraId="2F93725E" w14:textId="15A90F2D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 xml:space="preserve">zwrotu ewentualnej nadpłaty, wynikającej z różnicy przekazanego dofinansowania </w:t>
      </w:r>
      <w:r w:rsidRPr="009651A0">
        <w:rPr>
          <w:rFonts w:ascii="Calibri" w:hAnsi="Calibri" w:cs="Calibri"/>
          <w:bCs/>
          <w:sz w:val="24"/>
        </w:rPr>
        <w:br/>
        <w:t>i rzeczywistych/udokumentowanych kosztów wynajmu (za rozliczany okres 12</w:t>
      </w:r>
      <w:r w:rsidR="000A03D9">
        <w:rPr>
          <w:rFonts w:ascii="Calibri" w:hAnsi="Calibri" w:cs="Calibri"/>
          <w:bCs/>
          <w:sz w:val="24"/>
        </w:rPr>
        <w:t> </w:t>
      </w:r>
      <w:r w:rsidRPr="009651A0">
        <w:rPr>
          <w:rFonts w:ascii="Calibri" w:hAnsi="Calibri" w:cs="Calibri"/>
          <w:bCs/>
          <w:sz w:val="24"/>
        </w:rPr>
        <w:t>miesięcy wsparcia),</w:t>
      </w:r>
    </w:p>
    <w:p w14:paraId="469750B2" w14:textId="77777777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dołączenie w sposób określony w SOW, wypełnionego załącznika nr 2 do umowy;</w:t>
      </w:r>
    </w:p>
    <w:p w14:paraId="35FFA09F" w14:textId="77777777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uregulowanie należności wynikających z wezwania POWIATU w związku z rozliczaniem udzielonego dofinansowania (o ile dotyczy), a także udzielanie dodatkowych wyjaśnień związanych z realizacją umowy, potrzebnych POWIATOWI do rozliczenia dofinansowania;</w:t>
      </w:r>
    </w:p>
    <w:p w14:paraId="2AC1B314" w14:textId="55332681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sz w:val="24"/>
        </w:rPr>
        <w:t xml:space="preserve">warunkiem udzielenia dofinansowania od 13 do 36 miesiąca jest złożenie oświadczenia </w:t>
      </w:r>
      <w:r w:rsidRPr="009651A0">
        <w:rPr>
          <w:rFonts w:ascii="Calibri" w:hAnsi="Calibri" w:cs="Calibri"/>
          <w:sz w:val="24"/>
        </w:rPr>
        <w:br/>
      </w:r>
      <w:r w:rsidR="000A03D9" w:rsidRPr="009651A0">
        <w:rPr>
          <w:rFonts w:ascii="Calibri" w:hAnsi="Calibri" w:cs="Calibri"/>
          <w:sz w:val="24"/>
        </w:rPr>
        <w:t>o zatrudnieniu</w:t>
      </w:r>
      <w:r w:rsidRPr="009651A0">
        <w:rPr>
          <w:rFonts w:ascii="Calibri" w:hAnsi="Calibri" w:cs="Calibri"/>
          <w:sz w:val="24"/>
        </w:rPr>
        <w:t>;</w:t>
      </w:r>
    </w:p>
    <w:p w14:paraId="63FFCC66" w14:textId="77777777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otrzymanie pisemnej informacji POWIATU o końcowym rozliczeniu udzielonego dofinansowania.</w:t>
      </w:r>
    </w:p>
    <w:p w14:paraId="67513F7E" w14:textId="77777777" w:rsidR="0075259C" w:rsidRPr="009651A0" w:rsidRDefault="0075259C" w:rsidP="000A03D9">
      <w:pPr>
        <w:pStyle w:val="Standard"/>
        <w:spacing w:after="120" w:line="276" w:lineRule="auto"/>
        <w:ind w:left="42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Otrzymanie informacji, o której mowa w punkcie 5, nie zwalnia Beneficjenta z realizacji innych zobowiązań wynikających z umowy dofinansowania – w całym okresie jej obowiązywania.</w:t>
      </w:r>
    </w:p>
    <w:p w14:paraId="32FDA7D4" w14:textId="77777777" w:rsidR="0075259C" w:rsidRPr="009651A0" w:rsidRDefault="0075259C" w:rsidP="000A03D9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W ramach programu nie mogą być dofinansowane:</w:t>
      </w:r>
    </w:p>
    <w:p w14:paraId="481C4ECD" w14:textId="77777777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pożyczki, kredyty i spłaty rat oraz odsetek;</w:t>
      </w:r>
    </w:p>
    <w:p w14:paraId="0107DFB3" w14:textId="3F1CD47A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opłaty związane z realizacją zawartej umowy pomiędzy POWIATEM </w:t>
      </w:r>
      <w:r w:rsidR="000A03D9" w:rsidRPr="009651A0">
        <w:rPr>
          <w:rFonts w:ascii="Calibri" w:hAnsi="Calibri" w:cs="Calibri"/>
          <w:bCs/>
          <w:sz w:val="24"/>
          <w:szCs w:val="24"/>
        </w:rPr>
        <w:t>a Beneficjentem</w:t>
      </w:r>
      <w:r w:rsidRPr="009651A0">
        <w:rPr>
          <w:rFonts w:ascii="Calibri" w:hAnsi="Calibri" w:cs="Calibri"/>
          <w:bCs/>
          <w:sz w:val="24"/>
          <w:szCs w:val="24"/>
        </w:rPr>
        <w:t xml:space="preserve"> </w:t>
      </w:r>
      <w:r w:rsidRPr="009651A0">
        <w:rPr>
          <w:rFonts w:ascii="Calibri" w:hAnsi="Calibri" w:cs="Calibri"/>
          <w:bCs/>
          <w:sz w:val="24"/>
          <w:szCs w:val="24"/>
        </w:rPr>
        <w:br/>
        <w:t>(np. koszt otwarcia rachunku bankowego, koszt usług notarialnych, itp.);</w:t>
      </w:r>
    </w:p>
    <w:p w14:paraId="261D859C" w14:textId="77777777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koszty nieudokumentowane.</w:t>
      </w:r>
    </w:p>
    <w:p w14:paraId="559B7243" w14:textId="77777777" w:rsidR="0075259C" w:rsidRPr="009651A0" w:rsidRDefault="0075259C" w:rsidP="000A03D9">
      <w:pPr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75259C" w:rsidRPr="009651A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8934" w14:textId="77777777" w:rsidR="00800CF1" w:rsidRDefault="00800CF1">
      <w:r>
        <w:separator/>
      </w:r>
    </w:p>
  </w:endnote>
  <w:endnote w:type="continuationSeparator" w:id="0">
    <w:p w14:paraId="1A4E9603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4959" w14:textId="77777777" w:rsidR="00800CF1" w:rsidRDefault="00800CF1">
      <w:r>
        <w:separator/>
      </w:r>
    </w:p>
  </w:footnote>
  <w:footnote w:type="continuationSeparator" w:id="0">
    <w:p w14:paraId="6FF2A6FA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85215735">
    <w:abstractNumId w:val="95"/>
  </w:num>
  <w:num w:numId="2" w16cid:durableId="379523411">
    <w:abstractNumId w:val="83"/>
  </w:num>
  <w:num w:numId="3" w16cid:durableId="826436664">
    <w:abstractNumId w:val="48"/>
  </w:num>
  <w:num w:numId="4" w16cid:durableId="301274158">
    <w:abstractNumId w:val="73"/>
  </w:num>
  <w:num w:numId="5" w16cid:durableId="1692490448">
    <w:abstractNumId w:val="77"/>
  </w:num>
  <w:num w:numId="6" w16cid:durableId="1529030149">
    <w:abstractNumId w:val="86"/>
  </w:num>
  <w:num w:numId="7" w16cid:durableId="683242234">
    <w:abstractNumId w:val="70"/>
  </w:num>
  <w:num w:numId="8" w16cid:durableId="20938586">
    <w:abstractNumId w:val="102"/>
  </w:num>
  <w:num w:numId="9" w16cid:durableId="529758236">
    <w:abstractNumId w:val="59"/>
  </w:num>
  <w:num w:numId="10" w16cid:durableId="751313372">
    <w:abstractNumId w:val="64"/>
  </w:num>
  <w:num w:numId="11" w16cid:durableId="472721010">
    <w:abstractNumId w:val="52"/>
  </w:num>
  <w:num w:numId="12" w16cid:durableId="2103137883">
    <w:abstractNumId w:val="54"/>
  </w:num>
  <w:num w:numId="13" w16cid:durableId="121074678">
    <w:abstractNumId w:val="22"/>
  </w:num>
  <w:num w:numId="14" w16cid:durableId="1974209447">
    <w:abstractNumId w:val="12"/>
  </w:num>
  <w:num w:numId="15" w16cid:durableId="952982350">
    <w:abstractNumId w:val="79"/>
  </w:num>
  <w:num w:numId="16" w16cid:durableId="1067845151">
    <w:abstractNumId w:val="107"/>
  </w:num>
  <w:num w:numId="17" w16cid:durableId="1307399383">
    <w:abstractNumId w:val="109"/>
  </w:num>
  <w:num w:numId="18" w16cid:durableId="1535465213">
    <w:abstractNumId w:val="32"/>
  </w:num>
  <w:num w:numId="19" w16cid:durableId="1430195165">
    <w:abstractNumId w:val="38"/>
  </w:num>
  <w:num w:numId="20" w16cid:durableId="591666422">
    <w:abstractNumId w:val="71"/>
  </w:num>
  <w:num w:numId="21" w16cid:durableId="43797871">
    <w:abstractNumId w:val="17"/>
  </w:num>
  <w:num w:numId="22" w16cid:durableId="1702052366">
    <w:abstractNumId w:val="2"/>
  </w:num>
  <w:num w:numId="23" w16cid:durableId="277420247">
    <w:abstractNumId w:val="69"/>
  </w:num>
  <w:num w:numId="24" w16cid:durableId="1451127546">
    <w:abstractNumId w:val="92"/>
  </w:num>
  <w:num w:numId="25" w16cid:durableId="965626134">
    <w:abstractNumId w:val="51"/>
  </w:num>
  <w:num w:numId="26" w16cid:durableId="259264999">
    <w:abstractNumId w:val="103"/>
  </w:num>
  <w:num w:numId="27" w16cid:durableId="1994406273">
    <w:abstractNumId w:val="100"/>
  </w:num>
  <w:num w:numId="28" w16cid:durableId="963654462">
    <w:abstractNumId w:val="18"/>
  </w:num>
  <w:num w:numId="29" w16cid:durableId="1445266547">
    <w:abstractNumId w:val="6"/>
  </w:num>
  <w:num w:numId="30" w16cid:durableId="2120442204">
    <w:abstractNumId w:val="31"/>
  </w:num>
  <w:num w:numId="31" w16cid:durableId="727844079">
    <w:abstractNumId w:val="88"/>
  </w:num>
  <w:num w:numId="32" w16cid:durableId="554052180">
    <w:abstractNumId w:val="57"/>
  </w:num>
  <w:num w:numId="33" w16cid:durableId="400176173">
    <w:abstractNumId w:val="29"/>
  </w:num>
  <w:num w:numId="34" w16cid:durableId="1790473312">
    <w:abstractNumId w:val="56"/>
  </w:num>
  <w:num w:numId="35" w16cid:durableId="275648350">
    <w:abstractNumId w:val="0"/>
  </w:num>
  <w:num w:numId="36" w16cid:durableId="1425028374">
    <w:abstractNumId w:val="41"/>
  </w:num>
  <w:num w:numId="37" w16cid:durableId="1926499614">
    <w:abstractNumId w:val="4"/>
  </w:num>
  <w:num w:numId="38" w16cid:durableId="473522367">
    <w:abstractNumId w:val="23"/>
  </w:num>
  <w:num w:numId="39" w16cid:durableId="1400439865">
    <w:abstractNumId w:val="94"/>
  </w:num>
  <w:num w:numId="40" w16cid:durableId="950867627">
    <w:abstractNumId w:val="97"/>
  </w:num>
  <w:num w:numId="41" w16cid:durableId="368651806">
    <w:abstractNumId w:val="68"/>
  </w:num>
  <w:num w:numId="42" w16cid:durableId="1200431230">
    <w:abstractNumId w:val="35"/>
  </w:num>
  <w:num w:numId="43" w16cid:durableId="1129515951">
    <w:abstractNumId w:val="43"/>
  </w:num>
  <w:num w:numId="44" w16cid:durableId="1973560537">
    <w:abstractNumId w:val="66"/>
  </w:num>
  <w:num w:numId="45" w16cid:durableId="762260932">
    <w:abstractNumId w:val="96"/>
  </w:num>
  <w:num w:numId="46" w16cid:durableId="1875579778">
    <w:abstractNumId w:val="76"/>
  </w:num>
  <w:num w:numId="47" w16cid:durableId="471483904">
    <w:abstractNumId w:val="10"/>
  </w:num>
  <w:num w:numId="48" w16cid:durableId="401098577">
    <w:abstractNumId w:val="45"/>
  </w:num>
  <w:num w:numId="49" w16cid:durableId="420225655">
    <w:abstractNumId w:val="87"/>
  </w:num>
  <w:num w:numId="50" w16cid:durableId="91567224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9738410">
    <w:abstractNumId w:val="108"/>
  </w:num>
  <w:num w:numId="52" w16cid:durableId="9698190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9398694">
    <w:abstractNumId w:val="42"/>
  </w:num>
  <w:num w:numId="54" w16cid:durableId="259798270">
    <w:abstractNumId w:val="19"/>
  </w:num>
  <w:num w:numId="55" w16cid:durableId="191190865">
    <w:abstractNumId w:val="61"/>
  </w:num>
  <w:num w:numId="56" w16cid:durableId="1690528849">
    <w:abstractNumId w:val="65"/>
  </w:num>
  <w:num w:numId="57" w16cid:durableId="437067456">
    <w:abstractNumId w:val="72"/>
  </w:num>
  <w:num w:numId="58" w16cid:durableId="1011688777">
    <w:abstractNumId w:val="74"/>
  </w:num>
  <w:num w:numId="59" w16cid:durableId="471140952">
    <w:abstractNumId w:val="90"/>
  </w:num>
  <w:num w:numId="60" w16cid:durableId="1229733223">
    <w:abstractNumId w:val="36"/>
  </w:num>
  <w:num w:numId="61" w16cid:durableId="662006941">
    <w:abstractNumId w:val="27"/>
  </w:num>
  <w:num w:numId="62" w16cid:durableId="1826823039">
    <w:abstractNumId w:val="110"/>
  </w:num>
  <w:num w:numId="63" w16cid:durableId="835026552">
    <w:abstractNumId w:val="16"/>
  </w:num>
  <w:num w:numId="64" w16cid:durableId="149058547">
    <w:abstractNumId w:val="39"/>
  </w:num>
  <w:num w:numId="65" w16cid:durableId="1926256479">
    <w:abstractNumId w:val="7"/>
  </w:num>
  <w:num w:numId="66" w16cid:durableId="56439884">
    <w:abstractNumId w:val="65"/>
    <w:lvlOverride w:ilvl="0">
      <w:startOverride w:val="1"/>
    </w:lvlOverride>
  </w:num>
  <w:num w:numId="67" w16cid:durableId="76024477">
    <w:abstractNumId w:val="58"/>
  </w:num>
  <w:num w:numId="68" w16cid:durableId="1223098880">
    <w:abstractNumId w:val="75"/>
  </w:num>
  <w:num w:numId="69" w16cid:durableId="960262808">
    <w:abstractNumId w:val="67"/>
  </w:num>
  <w:num w:numId="70" w16cid:durableId="1243566125">
    <w:abstractNumId w:val="63"/>
  </w:num>
  <w:num w:numId="71" w16cid:durableId="1397439643">
    <w:abstractNumId w:val="55"/>
  </w:num>
  <w:num w:numId="72" w16cid:durableId="1314404579">
    <w:abstractNumId w:val="37"/>
  </w:num>
  <w:num w:numId="73" w16cid:durableId="344402011">
    <w:abstractNumId w:val="89"/>
  </w:num>
  <w:num w:numId="74" w16cid:durableId="753819857">
    <w:abstractNumId w:val="13"/>
  </w:num>
  <w:num w:numId="75" w16cid:durableId="1797484514">
    <w:abstractNumId w:val="11"/>
  </w:num>
  <w:num w:numId="76" w16cid:durableId="2635431">
    <w:abstractNumId w:val="5"/>
  </w:num>
  <w:num w:numId="77" w16cid:durableId="161625638">
    <w:abstractNumId w:val="93"/>
  </w:num>
  <w:num w:numId="78" w16cid:durableId="2146387762">
    <w:abstractNumId w:val="49"/>
  </w:num>
  <w:num w:numId="79" w16cid:durableId="1187407722">
    <w:abstractNumId w:val="106"/>
  </w:num>
  <w:num w:numId="80" w16cid:durableId="2131581318">
    <w:abstractNumId w:val="25"/>
  </w:num>
  <w:num w:numId="81" w16cid:durableId="1810706380">
    <w:abstractNumId w:val="105"/>
  </w:num>
  <w:num w:numId="82" w16cid:durableId="257254093">
    <w:abstractNumId w:val="21"/>
  </w:num>
  <w:num w:numId="83" w16cid:durableId="1719813425">
    <w:abstractNumId w:val="26"/>
  </w:num>
  <w:num w:numId="84" w16cid:durableId="999314709">
    <w:abstractNumId w:val="1"/>
  </w:num>
  <w:num w:numId="85" w16cid:durableId="267397115">
    <w:abstractNumId w:val="60"/>
  </w:num>
  <w:num w:numId="86" w16cid:durableId="1619071173">
    <w:abstractNumId w:val="9"/>
  </w:num>
  <w:num w:numId="87" w16cid:durableId="1951742932">
    <w:abstractNumId w:val="14"/>
  </w:num>
  <w:num w:numId="88" w16cid:durableId="936017657">
    <w:abstractNumId w:val="8"/>
  </w:num>
  <w:num w:numId="89" w16cid:durableId="1826244385">
    <w:abstractNumId w:val="101"/>
  </w:num>
  <w:num w:numId="90" w16cid:durableId="321275099">
    <w:abstractNumId w:val="82"/>
  </w:num>
  <w:num w:numId="91" w16cid:durableId="497499028">
    <w:abstractNumId w:val="33"/>
  </w:num>
  <w:num w:numId="92" w16cid:durableId="116335984">
    <w:abstractNumId w:val="34"/>
  </w:num>
  <w:num w:numId="93" w16cid:durableId="1294824441">
    <w:abstractNumId w:val="80"/>
  </w:num>
  <w:num w:numId="94" w16cid:durableId="266500203">
    <w:abstractNumId w:val="84"/>
  </w:num>
  <w:num w:numId="95" w16cid:durableId="997224037">
    <w:abstractNumId w:val="28"/>
  </w:num>
  <w:num w:numId="96" w16cid:durableId="437523526">
    <w:abstractNumId w:val="20"/>
  </w:num>
  <w:num w:numId="97" w16cid:durableId="1937709521">
    <w:abstractNumId w:val="53"/>
  </w:num>
  <w:num w:numId="98" w16cid:durableId="1391807705">
    <w:abstractNumId w:val="3"/>
  </w:num>
  <w:num w:numId="99" w16cid:durableId="1669938923">
    <w:abstractNumId w:val="30"/>
  </w:num>
  <w:num w:numId="100" w16cid:durableId="310134464">
    <w:abstractNumId w:val="104"/>
  </w:num>
  <w:num w:numId="101" w16cid:durableId="745494879">
    <w:abstractNumId w:val="40"/>
  </w:num>
  <w:num w:numId="102" w16cid:durableId="751586361">
    <w:abstractNumId w:val="91"/>
  </w:num>
  <w:num w:numId="103" w16cid:durableId="1868522627">
    <w:abstractNumId w:val="47"/>
  </w:num>
  <w:num w:numId="104" w16cid:durableId="1693414359">
    <w:abstractNumId w:val="46"/>
  </w:num>
  <w:num w:numId="105" w16cid:durableId="1405447079">
    <w:abstractNumId w:val="81"/>
  </w:num>
  <w:num w:numId="106" w16cid:durableId="528028197">
    <w:abstractNumId w:val="15"/>
  </w:num>
  <w:num w:numId="107" w16cid:durableId="875312810">
    <w:abstractNumId w:val="78"/>
  </w:num>
  <w:num w:numId="108" w16cid:durableId="1747217175">
    <w:abstractNumId w:val="62"/>
  </w:num>
  <w:num w:numId="109" w16cid:durableId="1297644412">
    <w:abstractNumId w:val="44"/>
  </w:num>
  <w:num w:numId="110" w16cid:durableId="1321153438">
    <w:abstractNumId w:val="99"/>
  </w:num>
  <w:num w:numId="111" w16cid:durableId="145783509">
    <w:abstractNumId w:val="85"/>
  </w:num>
  <w:num w:numId="112" w16cid:durableId="327640939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03D9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1FF8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7580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61C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548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12E5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637F8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C0DE-B637-4805-AEDE-39A8C80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3152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2022-07-04T13:20:00Z</cp:lastPrinted>
  <dcterms:created xsi:type="dcterms:W3CDTF">2022-09-06T10:25:00Z</dcterms:created>
  <dcterms:modified xsi:type="dcterms:W3CDTF">2022-09-06T10:25:00Z</dcterms:modified>
</cp:coreProperties>
</file>